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53C6A" w:rsidRDefault="00953C6A" w:rsidP="00953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A7D" w:rsidRDefault="00972A7D" w:rsidP="0097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</w:t>
      </w:r>
    </w:p>
    <w:p w:rsidR="00972A7D" w:rsidRDefault="00972A7D" w:rsidP="0097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________</w:t>
      </w:r>
    </w:p>
    <w:p w:rsidR="00972A7D" w:rsidRPr="009E086B" w:rsidRDefault="00972A7D" w:rsidP="0097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A7D" w:rsidRPr="00597549" w:rsidRDefault="00972A7D" w:rsidP="0097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«___»___________ 20___ г.</w:t>
      </w:r>
    </w:p>
    <w:p w:rsidR="00972A7D" w:rsidRPr="009E086B" w:rsidRDefault="00972A7D" w:rsidP="0097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Default="00972A7D" w:rsidP="00972A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В.П. Ботнарь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972A7D" w:rsidRPr="009E086B" w:rsidRDefault="00972A7D" w:rsidP="00972A7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Default="00972A7D" w:rsidP="00972A7D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A7D" w:rsidRPr="00BB23E2" w:rsidRDefault="00972A7D" w:rsidP="00972A7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передать в собственность 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72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84726" w:rsidRPr="00B847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итинги ПП (вентили п/п, клипсы п/п, муфты п/п)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B8472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bookmarkStart w:id="0" w:name="_GoBack"/>
      <w:bookmarkEnd w:id="0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на условиях настоящего контракта, а Покупатель обязуется принять Товар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его в порядке и сроки,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настоящим контрактом.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972A7D" w:rsidRPr="0068515C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поставки.</w:t>
      </w:r>
    </w:p>
    <w:p w:rsidR="00972A7D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884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972A7D" w:rsidRPr="00884866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Pr="00BB23E2" w:rsidRDefault="00972A7D" w:rsidP="00972A7D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цена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  ГУП «Водоснабжение и водоотведение»  на 2021 год, утвержденному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972A7D" w:rsidRPr="00BB23E2" w:rsidRDefault="00972A7D" w:rsidP="0097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972A7D" w:rsidRPr="00BB23E2" w:rsidRDefault="00972A7D" w:rsidP="0097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972A7D" w:rsidRPr="00BB23E2" w:rsidRDefault="00972A7D" w:rsidP="0097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972A7D" w:rsidRPr="00A51CE6" w:rsidRDefault="00972A7D" w:rsidP="0097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контракту производится Покупателем по факту передачи Поставщиком Покупателю Товара, на основании выставленного Поставщиком счета, в безналичной форме путем перечисления денежных средств в рублях Приднестровской Молдавской Республики на расчетный счет Поставщика в течении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</w:t>
      </w:r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ти) рабочих дней с момента подписания товаросопроводительной документации  (ТТН) и выставления счета на оплату.</w:t>
      </w:r>
    </w:p>
    <w:p w:rsidR="00972A7D" w:rsidRPr="00BB23E2" w:rsidRDefault="00972A7D" w:rsidP="0097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972A7D" w:rsidRPr="00BB23E2" w:rsidRDefault="00972A7D" w:rsidP="0097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 7. Источник финансирования – собственные средства Покупателя.</w:t>
      </w:r>
    </w:p>
    <w:p w:rsidR="00972A7D" w:rsidRDefault="00972A7D" w:rsidP="00972A7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</w:t>
      </w:r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(пени, штраф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A7D" w:rsidRPr="00BB23E2" w:rsidRDefault="00972A7D" w:rsidP="00972A7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Pr="00BB23E2" w:rsidRDefault="00972A7D" w:rsidP="00972A7D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972A7D" w:rsidRPr="00344E8F" w:rsidRDefault="00972A7D" w:rsidP="00972A7D">
      <w:pPr>
        <w:pStyle w:val="a4"/>
        <w:widowControl w:val="0"/>
        <w:numPr>
          <w:ilvl w:val="1"/>
          <w:numId w:val="26"/>
        </w:numPr>
        <w:tabs>
          <w:tab w:val="clear" w:pos="64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25-ти (двадцати пяти) календарных дней с момента получения письменной заявки Покупателя. </w:t>
      </w:r>
      <w:r w:rsidRPr="00344E8F">
        <w:rPr>
          <w:rFonts w:ascii="Times New Roman" w:hAnsi="Times New Roman" w:cs="Times New Roman"/>
          <w:sz w:val="24"/>
          <w:szCs w:val="24"/>
        </w:rPr>
        <w:t>По согласованию с Покупателем возможна досрочная поставка партии Товара.</w:t>
      </w:r>
    </w:p>
    <w:p w:rsidR="00972A7D" w:rsidRPr="00344E8F" w:rsidRDefault="00972A7D" w:rsidP="00972A7D">
      <w:pPr>
        <w:pStyle w:val="a4"/>
        <w:widowControl w:val="0"/>
        <w:numPr>
          <w:ilvl w:val="1"/>
          <w:numId w:val="26"/>
        </w:numPr>
        <w:tabs>
          <w:tab w:val="clear" w:pos="64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поставок отдельных партий Товара в течение срока действия настоящего Контракта определяются с учетом потребностей Покупателя и наличия у Поставщика соответствующего Товара, согласовываются Сторонами посредством подачи письменной заявки. </w:t>
      </w:r>
    </w:p>
    <w:p w:rsidR="00972A7D" w:rsidRPr="00344E8F" w:rsidRDefault="00972A7D" w:rsidP="00972A7D">
      <w:pPr>
        <w:pStyle w:val="a4"/>
        <w:widowControl w:val="0"/>
        <w:numPr>
          <w:ilvl w:val="1"/>
          <w:numId w:val="26"/>
        </w:numPr>
        <w:tabs>
          <w:tab w:val="clear" w:pos="64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972A7D" w:rsidRPr="00344E8F" w:rsidRDefault="00972A7D" w:rsidP="00972A7D">
      <w:pPr>
        <w:pStyle w:val="a4"/>
        <w:widowControl w:val="0"/>
        <w:numPr>
          <w:ilvl w:val="1"/>
          <w:numId w:val="26"/>
        </w:numPr>
        <w:tabs>
          <w:tab w:val="clear" w:pos="64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8F">
        <w:rPr>
          <w:rFonts w:ascii="Times New Roman" w:hAnsi="Times New Roman" w:cs="Times New Roman"/>
          <w:sz w:val="24"/>
          <w:szCs w:val="24"/>
        </w:rPr>
        <w:t>Поставка Товара осуществляется на территорию склада Покупателя, расположенного по адресу: г. Тирасполь, ул. 95 Молдавской Дивизии, 1В.</w:t>
      </w:r>
    </w:p>
    <w:p w:rsidR="00972A7D" w:rsidRPr="00BB23E2" w:rsidRDefault="00972A7D" w:rsidP="00972A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Товара является дата подписания уполномоченным представителем товарно-транспортной  накладной.</w:t>
      </w:r>
    </w:p>
    <w:p w:rsidR="00972A7D" w:rsidRDefault="00972A7D" w:rsidP="00972A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 передается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уполномоченному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Покупателя, при наличии у него надлежащим образом оформленной доверенности на получение Товара.</w:t>
      </w:r>
    </w:p>
    <w:p w:rsidR="00972A7D" w:rsidRPr="00BB23E2" w:rsidRDefault="00972A7D" w:rsidP="00972A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Толеранс поставки составляет ±10 % от общего объема Товара.</w:t>
      </w:r>
    </w:p>
    <w:p w:rsidR="00972A7D" w:rsidRPr="00BB23E2" w:rsidRDefault="00972A7D" w:rsidP="00972A7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несоответствия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Покупателем.</w:t>
      </w:r>
    </w:p>
    <w:p w:rsidR="00972A7D" w:rsidRPr="00BB23E2" w:rsidRDefault="00972A7D" w:rsidP="00972A7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(десяти) календарных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972A7D" w:rsidRPr="00BB23E2" w:rsidRDefault="00972A7D" w:rsidP="00972A7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(десяти) рабочих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обязан устранить их своими силами и за свой счет.  </w:t>
      </w:r>
    </w:p>
    <w:p w:rsidR="00972A7D" w:rsidRPr="00BB23E2" w:rsidRDefault="00972A7D" w:rsidP="00972A7D">
      <w:pPr>
        <w:numPr>
          <w:ilvl w:val="0"/>
          <w:numId w:val="29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 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Передать вместе с Товаром относящиеся к нему документы (ТТН,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качестве и пр.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Передать Товар, качество которого соответствует обычно предъявляемым требованиям, стандартам, ГОСТам.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Республики.</w:t>
      </w:r>
    </w:p>
    <w:p w:rsidR="00972A7D" w:rsidRPr="00BB23E2" w:rsidRDefault="00972A7D" w:rsidP="00972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имеет право:</w:t>
      </w:r>
    </w:p>
    <w:p w:rsidR="00972A7D" w:rsidRPr="00BB23E2" w:rsidRDefault="00972A7D" w:rsidP="00972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72A7D" w:rsidRPr="00BB23E2" w:rsidRDefault="00972A7D" w:rsidP="00972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972A7D" w:rsidRPr="00BB23E2" w:rsidRDefault="00972A7D" w:rsidP="00972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4.2.3.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принятие Товара при  поставки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972A7D" w:rsidRPr="00BB23E2" w:rsidRDefault="00972A7D" w:rsidP="00972A7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972A7D" w:rsidRPr="00BB23E2" w:rsidRDefault="00972A7D" w:rsidP="00972A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972A7D" w:rsidRPr="00BB23E2" w:rsidRDefault="00972A7D" w:rsidP="00972A7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Поставщика 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надлежащего исполнения обязательств,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72A7D" w:rsidRPr="00BB23E2" w:rsidRDefault="00972A7D" w:rsidP="00972A7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972A7D" w:rsidRDefault="00972A7D" w:rsidP="00972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Pr="002A0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</w:t>
      </w:r>
      <w:r w:rsidRPr="002A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экспертов, экспертных организаций до принятия решения об одностороннем отказе. Если Заказчиком проведена экспертиза с привлечением экспертов, экспертных организаций, решение об одностороннем отказе может быть принято заказчиком только при условии, что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 w:rsidR="00972A7D" w:rsidRPr="00E379EB" w:rsidRDefault="00972A7D" w:rsidP="00972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</w:t>
      </w:r>
      <w:r w:rsidRPr="00E3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972A7D" w:rsidRPr="00BB23E2" w:rsidRDefault="00972A7D" w:rsidP="00972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Поставщиком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сроков исполнения обязательств по настоящему контракту, оплата поставленного Товара, его партии осуществляется в соответствии с   пунктом  2.8. настоящего Контракта.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Поставщику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972A7D" w:rsidRDefault="00972A7D" w:rsidP="00972A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972A7D" w:rsidRDefault="00972A7D" w:rsidP="00972A7D">
      <w:pPr>
        <w:pStyle w:val="a4"/>
        <w:numPr>
          <w:ilvl w:val="1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 поставляется в порядке, обеспечивающей его сохранность при надлежащем хранении и транспортировке.</w:t>
      </w:r>
    </w:p>
    <w:p w:rsidR="00972A7D" w:rsidRPr="00373325" w:rsidRDefault="00972A7D" w:rsidP="00972A7D">
      <w:pPr>
        <w:pStyle w:val="a4"/>
        <w:numPr>
          <w:ilvl w:val="1"/>
          <w:numId w:val="4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 качестве </w:t>
      </w:r>
      <w:r w:rsidRPr="002F6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Поставщиком на каждый вид Товара. Поставщик обязан предоставить на поставленный Товар всю необходимую документацию, предусмотренную действующим законодательством Приднестровской Молдавской Республики  для данного вида Товара.</w:t>
      </w:r>
      <w:r w:rsidRPr="0037332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972A7D" w:rsidRPr="00373325" w:rsidRDefault="00972A7D" w:rsidP="00972A7D">
      <w:pPr>
        <w:pStyle w:val="a4"/>
        <w:numPr>
          <w:ilvl w:val="1"/>
          <w:numId w:val="4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гарантирует, что Товар новый, ранее не использованный, не имеет дефектов материалов, соответствует современным  достижениям мировой техники, техническим требованиям и удовлетворяет высоким нормам, существующим  для данного вида Товара.</w:t>
      </w:r>
    </w:p>
    <w:p w:rsidR="00972A7D" w:rsidRDefault="00972A7D" w:rsidP="00972A7D">
      <w:pPr>
        <w:pStyle w:val="a4"/>
        <w:numPr>
          <w:ilvl w:val="1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Товара должно соответствовать 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ТУ заводов изготовителей.</w:t>
      </w:r>
    </w:p>
    <w:p w:rsidR="00972A7D" w:rsidRDefault="00972A7D" w:rsidP="00972A7D">
      <w:pPr>
        <w:pStyle w:val="a4"/>
        <w:numPr>
          <w:ilvl w:val="2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Гарантийный срок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Товар</w:t>
      </w:r>
      <w:r w:rsidRPr="00483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партию устанавливается заводом изготовителем и подтверждается документом о  качестве. </w:t>
      </w:r>
    </w:p>
    <w:p w:rsidR="00972A7D" w:rsidRPr="00483736" w:rsidRDefault="00972A7D" w:rsidP="00972A7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3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3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обнаружения Покупателем неисправности Товара в период гарантийного срока Покупатель направляет в адрес Поставщика уведомление, в котором указывает характер возникшей неисправности.</w:t>
      </w:r>
    </w:p>
    <w:p w:rsidR="00972A7D" w:rsidRPr="00EB37C7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Поставщик в течение 1</w:t>
      </w: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)  календарных дней с момента получения уведомления направляет своего представителя для установления причин неисправности и наличия гарантийного случая.</w:t>
      </w:r>
    </w:p>
    <w:p w:rsidR="00972A7D" w:rsidRPr="00EB37C7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Замена ненадлежащего Товара надлежащим, проводится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0-ти календарных дней с момента установления наличия гарантийного случая.</w:t>
      </w:r>
    </w:p>
    <w:p w:rsidR="00972A7D" w:rsidRPr="002F6F4D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6.8. </w:t>
      </w:r>
      <w:r w:rsidRPr="002F6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eCAE7BC5D"/>
      <w:bookmarkStart w:id="2" w:name="e15F937AE"/>
      <w:bookmarkEnd w:id="1"/>
      <w:bookmarkEnd w:id="2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972A7D" w:rsidRPr="00FD4009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гарантийный,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972A7D" w:rsidRPr="00BB23E2" w:rsidRDefault="00972A7D" w:rsidP="00972A7D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972A7D" w:rsidRPr="00BB23E2" w:rsidRDefault="00972A7D" w:rsidP="00972A7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Default="00972A7D" w:rsidP="00972A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 РЕКВИЗИТЫ</w:t>
      </w:r>
    </w:p>
    <w:p w:rsidR="00972A7D" w:rsidRPr="00BB23E2" w:rsidRDefault="00972A7D" w:rsidP="00972A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972A7D" w:rsidRPr="00BB23E2" w:rsidTr="0093796C">
        <w:trPr>
          <w:trHeight w:val="1840"/>
        </w:trPr>
        <w:tc>
          <w:tcPr>
            <w:tcW w:w="4428" w:type="dxa"/>
          </w:tcPr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Pr="00B33C8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972A7D" w:rsidRPr="00BB23E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972A7D" w:rsidRPr="00B33C8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72A7D" w:rsidRPr="00BB23E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72A7D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_______________В.П. Ботнарь</w:t>
            </w:r>
          </w:p>
          <w:p w:rsidR="00972A7D" w:rsidRPr="00BB23E2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Pr="00BB23E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972A7D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Pr="00BB23E2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72A7D" w:rsidRPr="00BB23E2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поставки от __________________ № _______</w:t>
      </w:r>
    </w:p>
    <w:p w:rsidR="00972A7D" w:rsidRPr="00BB23E2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Pr="00BB23E2" w:rsidRDefault="00972A7D" w:rsidP="00972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Pr="00BB23E2" w:rsidRDefault="00972A7D" w:rsidP="0097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Pr="00BB23E2" w:rsidRDefault="00972A7D" w:rsidP="0097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972A7D" w:rsidRPr="00BB23E2" w:rsidRDefault="00972A7D" w:rsidP="0097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Pr="00BB23E2" w:rsidRDefault="00972A7D" w:rsidP="0097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972A7D" w:rsidRPr="00BB23E2" w:rsidRDefault="00972A7D" w:rsidP="0097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972A7D" w:rsidRPr="00BB23E2" w:rsidTr="0093796C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Сумма</w:t>
            </w:r>
          </w:p>
        </w:tc>
      </w:tr>
      <w:tr w:rsidR="00972A7D" w:rsidRPr="00BB23E2" w:rsidTr="0093796C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72A7D" w:rsidRPr="00BB23E2" w:rsidTr="0093796C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72A7D" w:rsidRPr="00BB23E2" w:rsidTr="0093796C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72A7D" w:rsidRPr="00BB23E2" w:rsidTr="0093796C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72A7D" w:rsidRPr="00BB23E2" w:rsidTr="0093796C">
        <w:tc>
          <w:tcPr>
            <w:tcW w:w="1134" w:type="dxa"/>
            <w:gridSpan w:val="2"/>
            <w:shd w:val="clear" w:color="auto" w:fill="F6F6F6"/>
          </w:tcPr>
          <w:p w:rsidR="00972A7D" w:rsidRPr="00BB23E2" w:rsidRDefault="00972A7D" w:rsidP="0093796C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72A7D" w:rsidRPr="00BB23E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72A7D" w:rsidRPr="00BB23E2" w:rsidRDefault="00972A7D" w:rsidP="0097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Pr="00BB23E2" w:rsidRDefault="00972A7D" w:rsidP="0097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7D" w:rsidRPr="00BB23E2" w:rsidRDefault="00972A7D" w:rsidP="00972A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 РЕКВИЗИТЫ И ПОДПИСИ  СТОРОН</w:t>
      </w:r>
    </w:p>
    <w:p w:rsidR="00972A7D" w:rsidRPr="00BB23E2" w:rsidRDefault="00972A7D" w:rsidP="0097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972A7D" w:rsidRPr="00BB23E2" w:rsidTr="0093796C">
        <w:trPr>
          <w:trHeight w:val="1840"/>
        </w:trPr>
        <w:tc>
          <w:tcPr>
            <w:tcW w:w="4716" w:type="dxa"/>
          </w:tcPr>
          <w:p w:rsidR="00972A7D" w:rsidRPr="00BB23E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72A7D" w:rsidRPr="00BB23E2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Pr="00BB23E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Pr="00B33C8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972A7D" w:rsidRPr="00BB23E2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972A7D" w:rsidRPr="00BB23E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72A7D" w:rsidRPr="00BB23E2" w:rsidRDefault="00972A7D" w:rsidP="0093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2A7D" w:rsidRPr="00BB23E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72A7D" w:rsidRPr="00BB23E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72A7D" w:rsidRPr="00B33C82" w:rsidRDefault="00972A7D" w:rsidP="0093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________________В.П. Ботнарь</w:t>
            </w:r>
          </w:p>
          <w:p w:rsidR="00972A7D" w:rsidRPr="00BB23E2" w:rsidRDefault="00972A7D" w:rsidP="00937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:rsidR="00972A7D" w:rsidRPr="00BB23E2" w:rsidRDefault="00972A7D" w:rsidP="00972A7D"/>
    <w:p w:rsidR="00972A7D" w:rsidRDefault="00972A7D" w:rsidP="00972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A7D" w:rsidRDefault="00972A7D" w:rsidP="00972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A7D" w:rsidRDefault="00972A7D" w:rsidP="00972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A7D" w:rsidRDefault="00972A7D" w:rsidP="00972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06D" w:rsidRDefault="003A706D" w:rsidP="00972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A706D" w:rsidSect="00953C6A">
      <w:pgSz w:w="11906" w:h="16838"/>
      <w:pgMar w:top="567" w:right="850" w:bottom="568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BC" w:rsidRDefault="007909BC" w:rsidP="00953C6A">
      <w:pPr>
        <w:spacing w:after="0" w:line="240" w:lineRule="auto"/>
      </w:pPr>
      <w:r>
        <w:separator/>
      </w:r>
    </w:p>
  </w:endnote>
  <w:endnote w:type="continuationSeparator" w:id="0">
    <w:p w:rsidR="007909BC" w:rsidRDefault="007909BC" w:rsidP="0095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BC" w:rsidRDefault="007909BC" w:rsidP="00953C6A">
      <w:pPr>
        <w:spacing w:after="0" w:line="240" w:lineRule="auto"/>
      </w:pPr>
      <w:r>
        <w:separator/>
      </w:r>
    </w:p>
  </w:footnote>
  <w:footnote w:type="continuationSeparator" w:id="0">
    <w:p w:rsidR="007909BC" w:rsidRDefault="007909BC" w:rsidP="0095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5B6296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D00E4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C66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6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37906"/>
    <w:multiLevelType w:val="multilevel"/>
    <w:tmpl w:val="6C102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40"/>
  </w:num>
  <w:num w:numId="3">
    <w:abstractNumId w:val="1"/>
  </w:num>
  <w:num w:numId="4">
    <w:abstractNumId w:val="5"/>
  </w:num>
  <w:num w:numId="5">
    <w:abstractNumId w:val="41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9"/>
  </w:num>
  <w:num w:numId="11">
    <w:abstractNumId w:val="36"/>
  </w:num>
  <w:num w:numId="12">
    <w:abstractNumId w:val="8"/>
  </w:num>
  <w:num w:numId="13">
    <w:abstractNumId w:val="16"/>
  </w:num>
  <w:num w:numId="14">
    <w:abstractNumId w:val="11"/>
  </w:num>
  <w:num w:numId="15">
    <w:abstractNumId w:val="28"/>
  </w:num>
  <w:num w:numId="16">
    <w:abstractNumId w:val="0"/>
  </w:num>
  <w:num w:numId="17">
    <w:abstractNumId w:val="34"/>
  </w:num>
  <w:num w:numId="18">
    <w:abstractNumId w:val="37"/>
  </w:num>
  <w:num w:numId="19">
    <w:abstractNumId w:val="20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9"/>
  </w:num>
  <w:num w:numId="29">
    <w:abstractNumId w:val="38"/>
  </w:num>
  <w:num w:numId="30">
    <w:abstractNumId w:val="26"/>
  </w:num>
  <w:num w:numId="31">
    <w:abstractNumId w:val="7"/>
  </w:num>
  <w:num w:numId="32">
    <w:abstractNumId w:val="30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33"/>
  </w:num>
  <w:num w:numId="38">
    <w:abstractNumId w:val="27"/>
  </w:num>
  <w:num w:numId="39">
    <w:abstractNumId w:val="25"/>
  </w:num>
  <w:num w:numId="40">
    <w:abstractNumId w:val="22"/>
  </w:num>
  <w:num w:numId="41">
    <w:abstractNumId w:val="15"/>
  </w:num>
  <w:num w:numId="42">
    <w:abstractNumId w:val="35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0E0F"/>
    <w:rsid w:val="00002DAB"/>
    <w:rsid w:val="000200CE"/>
    <w:rsid w:val="0003065C"/>
    <w:rsid w:val="00055199"/>
    <w:rsid w:val="00080894"/>
    <w:rsid w:val="00083C2B"/>
    <w:rsid w:val="00090C73"/>
    <w:rsid w:val="0009641D"/>
    <w:rsid w:val="000A0A3C"/>
    <w:rsid w:val="000B08C8"/>
    <w:rsid w:val="000B20BF"/>
    <w:rsid w:val="000D6E60"/>
    <w:rsid w:val="000D7DF8"/>
    <w:rsid w:val="000E4932"/>
    <w:rsid w:val="00105D6D"/>
    <w:rsid w:val="00115896"/>
    <w:rsid w:val="00122694"/>
    <w:rsid w:val="00130BFD"/>
    <w:rsid w:val="00145331"/>
    <w:rsid w:val="00153368"/>
    <w:rsid w:val="00166C5B"/>
    <w:rsid w:val="0017279C"/>
    <w:rsid w:val="00176DAC"/>
    <w:rsid w:val="001937DB"/>
    <w:rsid w:val="001A04CA"/>
    <w:rsid w:val="001B709F"/>
    <w:rsid w:val="001C5721"/>
    <w:rsid w:val="001D3C81"/>
    <w:rsid w:val="001F069A"/>
    <w:rsid w:val="0020314C"/>
    <w:rsid w:val="00223E0A"/>
    <w:rsid w:val="00240412"/>
    <w:rsid w:val="00262E88"/>
    <w:rsid w:val="00292A01"/>
    <w:rsid w:val="002A0E81"/>
    <w:rsid w:val="002C0273"/>
    <w:rsid w:val="002C1740"/>
    <w:rsid w:val="002C4AEC"/>
    <w:rsid w:val="002D770F"/>
    <w:rsid w:val="002E3779"/>
    <w:rsid w:val="002F5413"/>
    <w:rsid w:val="002F6F4D"/>
    <w:rsid w:val="00315DBF"/>
    <w:rsid w:val="003550DC"/>
    <w:rsid w:val="003726FD"/>
    <w:rsid w:val="00373325"/>
    <w:rsid w:val="00382242"/>
    <w:rsid w:val="003A706D"/>
    <w:rsid w:val="003C4DAD"/>
    <w:rsid w:val="003F31AD"/>
    <w:rsid w:val="003F34C6"/>
    <w:rsid w:val="003F6E70"/>
    <w:rsid w:val="00417EAB"/>
    <w:rsid w:val="00444C3A"/>
    <w:rsid w:val="00465729"/>
    <w:rsid w:val="00470185"/>
    <w:rsid w:val="004827F5"/>
    <w:rsid w:val="00483736"/>
    <w:rsid w:val="00493B8D"/>
    <w:rsid w:val="0049638A"/>
    <w:rsid w:val="004B3745"/>
    <w:rsid w:val="004B65BF"/>
    <w:rsid w:val="004B78E0"/>
    <w:rsid w:val="004D76CA"/>
    <w:rsid w:val="004F232A"/>
    <w:rsid w:val="004F5E7F"/>
    <w:rsid w:val="0050549B"/>
    <w:rsid w:val="00507FBC"/>
    <w:rsid w:val="005127F5"/>
    <w:rsid w:val="005133C6"/>
    <w:rsid w:val="00522919"/>
    <w:rsid w:val="0053768A"/>
    <w:rsid w:val="00543015"/>
    <w:rsid w:val="005434AF"/>
    <w:rsid w:val="00550FED"/>
    <w:rsid w:val="0056271E"/>
    <w:rsid w:val="00570BDC"/>
    <w:rsid w:val="00583AF9"/>
    <w:rsid w:val="00591BEC"/>
    <w:rsid w:val="00592EE8"/>
    <w:rsid w:val="00597549"/>
    <w:rsid w:val="005A176A"/>
    <w:rsid w:val="005B59CE"/>
    <w:rsid w:val="005B7B95"/>
    <w:rsid w:val="005C0C83"/>
    <w:rsid w:val="005D12EF"/>
    <w:rsid w:val="005D2B15"/>
    <w:rsid w:val="005D2CF4"/>
    <w:rsid w:val="005F5A9F"/>
    <w:rsid w:val="005F6601"/>
    <w:rsid w:val="00601B80"/>
    <w:rsid w:val="00602445"/>
    <w:rsid w:val="006400D5"/>
    <w:rsid w:val="0064324C"/>
    <w:rsid w:val="00652164"/>
    <w:rsid w:val="00652A75"/>
    <w:rsid w:val="00653456"/>
    <w:rsid w:val="00653B04"/>
    <w:rsid w:val="0066567B"/>
    <w:rsid w:val="00676FC6"/>
    <w:rsid w:val="0068515C"/>
    <w:rsid w:val="006911F6"/>
    <w:rsid w:val="00693F66"/>
    <w:rsid w:val="006A0967"/>
    <w:rsid w:val="006B341B"/>
    <w:rsid w:val="007021EE"/>
    <w:rsid w:val="0072101F"/>
    <w:rsid w:val="0072210B"/>
    <w:rsid w:val="00724094"/>
    <w:rsid w:val="00754D8D"/>
    <w:rsid w:val="00756FEA"/>
    <w:rsid w:val="007909BC"/>
    <w:rsid w:val="007B6021"/>
    <w:rsid w:val="007D58EE"/>
    <w:rsid w:val="008132CD"/>
    <w:rsid w:val="008143EE"/>
    <w:rsid w:val="00841613"/>
    <w:rsid w:val="00853356"/>
    <w:rsid w:val="00854050"/>
    <w:rsid w:val="00856287"/>
    <w:rsid w:val="00864E83"/>
    <w:rsid w:val="00865AE1"/>
    <w:rsid w:val="00875B5F"/>
    <w:rsid w:val="008849D5"/>
    <w:rsid w:val="008900EC"/>
    <w:rsid w:val="008D3AF5"/>
    <w:rsid w:val="008E00DA"/>
    <w:rsid w:val="008E31EC"/>
    <w:rsid w:val="008E68B1"/>
    <w:rsid w:val="008F01C2"/>
    <w:rsid w:val="008F48E8"/>
    <w:rsid w:val="009009BF"/>
    <w:rsid w:val="00907A7F"/>
    <w:rsid w:val="00915645"/>
    <w:rsid w:val="00916F35"/>
    <w:rsid w:val="00926465"/>
    <w:rsid w:val="009333D6"/>
    <w:rsid w:val="00935570"/>
    <w:rsid w:val="009437EA"/>
    <w:rsid w:val="0095249D"/>
    <w:rsid w:val="00953C6A"/>
    <w:rsid w:val="00966929"/>
    <w:rsid w:val="00972A7D"/>
    <w:rsid w:val="0099334E"/>
    <w:rsid w:val="0099584E"/>
    <w:rsid w:val="009A08FE"/>
    <w:rsid w:val="009A597B"/>
    <w:rsid w:val="009E086B"/>
    <w:rsid w:val="009E13E6"/>
    <w:rsid w:val="009E79C3"/>
    <w:rsid w:val="009F2281"/>
    <w:rsid w:val="00A01350"/>
    <w:rsid w:val="00A032CF"/>
    <w:rsid w:val="00A16C94"/>
    <w:rsid w:val="00A20CD5"/>
    <w:rsid w:val="00A32B96"/>
    <w:rsid w:val="00A42C32"/>
    <w:rsid w:val="00A44E72"/>
    <w:rsid w:val="00A4523D"/>
    <w:rsid w:val="00A50521"/>
    <w:rsid w:val="00A53EE5"/>
    <w:rsid w:val="00A53FF3"/>
    <w:rsid w:val="00A57411"/>
    <w:rsid w:val="00A62A27"/>
    <w:rsid w:val="00A62FE7"/>
    <w:rsid w:val="00AB2C54"/>
    <w:rsid w:val="00AB45A7"/>
    <w:rsid w:val="00AB7D39"/>
    <w:rsid w:val="00AC5287"/>
    <w:rsid w:val="00AC5DBC"/>
    <w:rsid w:val="00AE16BF"/>
    <w:rsid w:val="00AE250A"/>
    <w:rsid w:val="00AE279D"/>
    <w:rsid w:val="00AF4948"/>
    <w:rsid w:val="00B1162B"/>
    <w:rsid w:val="00B146C1"/>
    <w:rsid w:val="00B33C82"/>
    <w:rsid w:val="00B459F6"/>
    <w:rsid w:val="00B565F7"/>
    <w:rsid w:val="00B7278B"/>
    <w:rsid w:val="00B84726"/>
    <w:rsid w:val="00B94DFC"/>
    <w:rsid w:val="00BA7463"/>
    <w:rsid w:val="00BB4A32"/>
    <w:rsid w:val="00BD2F93"/>
    <w:rsid w:val="00BE033E"/>
    <w:rsid w:val="00BE1BD3"/>
    <w:rsid w:val="00BE4597"/>
    <w:rsid w:val="00C113A4"/>
    <w:rsid w:val="00C20453"/>
    <w:rsid w:val="00C252FB"/>
    <w:rsid w:val="00C261BC"/>
    <w:rsid w:val="00C45746"/>
    <w:rsid w:val="00C5372D"/>
    <w:rsid w:val="00C53C75"/>
    <w:rsid w:val="00C60CBF"/>
    <w:rsid w:val="00C715B0"/>
    <w:rsid w:val="00C832A5"/>
    <w:rsid w:val="00C834A0"/>
    <w:rsid w:val="00C95DC2"/>
    <w:rsid w:val="00CA0986"/>
    <w:rsid w:val="00CC2194"/>
    <w:rsid w:val="00CC7C29"/>
    <w:rsid w:val="00CD7178"/>
    <w:rsid w:val="00CE4B40"/>
    <w:rsid w:val="00CE6012"/>
    <w:rsid w:val="00CF4B87"/>
    <w:rsid w:val="00CF564B"/>
    <w:rsid w:val="00D05805"/>
    <w:rsid w:val="00D14105"/>
    <w:rsid w:val="00D2776E"/>
    <w:rsid w:val="00D352EF"/>
    <w:rsid w:val="00D35F9D"/>
    <w:rsid w:val="00D41A4A"/>
    <w:rsid w:val="00D52589"/>
    <w:rsid w:val="00D57AC9"/>
    <w:rsid w:val="00D6626A"/>
    <w:rsid w:val="00D7119D"/>
    <w:rsid w:val="00D72CC3"/>
    <w:rsid w:val="00D937C8"/>
    <w:rsid w:val="00DB2455"/>
    <w:rsid w:val="00DB5E6D"/>
    <w:rsid w:val="00DB660E"/>
    <w:rsid w:val="00DB75D7"/>
    <w:rsid w:val="00DD27D2"/>
    <w:rsid w:val="00DF27AD"/>
    <w:rsid w:val="00E0200B"/>
    <w:rsid w:val="00E13FB6"/>
    <w:rsid w:val="00E16716"/>
    <w:rsid w:val="00E23E1A"/>
    <w:rsid w:val="00E33EAA"/>
    <w:rsid w:val="00E379EB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76FB"/>
    <w:rsid w:val="00ED3F90"/>
    <w:rsid w:val="00EE4A50"/>
    <w:rsid w:val="00EF1876"/>
    <w:rsid w:val="00EF1FD4"/>
    <w:rsid w:val="00F17822"/>
    <w:rsid w:val="00F24179"/>
    <w:rsid w:val="00F408A2"/>
    <w:rsid w:val="00F51E60"/>
    <w:rsid w:val="00F5386A"/>
    <w:rsid w:val="00F5393F"/>
    <w:rsid w:val="00F855EE"/>
    <w:rsid w:val="00F91EA6"/>
    <w:rsid w:val="00FD619D"/>
    <w:rsid w:val="00FE344D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D99BC-5FD2-44DD-AFBD-A55DF5C5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95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53C6A"/>
  </w:style>
  <w:style w:type="paragraph" w:styleId="af3">
    <w:name w:val="footer"/>
    <w:basedOn w:val="a"/>
    <w:link w:val="af4"/>
    <w:uiPriority w:val="99"/>
    <w:semiHidden/>
    <w:unhideWhenUsed/>
    <w:rsid w:val="0095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5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9DB3-55C3-4C21-967A-1E30B1D6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6</cp:revision>
  <cp:lastPrinted>2021-02-19T08:39:00Z</cp:lastPrinted>
  <dcterms:created xsi:type="dcterms:W3CDTF">2021-09-27T10:58:00Z</dcterms:created>
  <dcterms:modified xsi:type="dcterms:W3CDTF">2021-09-28T06:28:00Z</dcterms:modified>
</cp:coreProperties>
</file>